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rPr>
          <w:rFonts w:ascii="黑体" w:hAnsi="黑体" w:eastAsia="黑体"/>
          <w:b/>
        </w:rPr>
        <w:t>电机定子感应加热热装配工艺与温控技术</w:t>
      </w:r>
    </w:p>
    <w:p>
      <w:pPr>
        <w:pStyle w:val="Heading2"/>
        <w:jc w:val="left"/>
      </w:pPr>
      <w:r>
        <w:rPr>
          <w:rFonts w:ascii="黑体" w:hAnsi="黑体" w:eastAsia="黑体"/>
        </w:rPr>
        <w:t>一、引言</w:t>
      </w:r>
    </w:p>
    <w:p>
      <w:pPr>
        <w:jc w:val="left"/>
      </w:pPr>
      <w:r>
        <w:rPr>
          <w:rFonts w:ascii="黑体" w:hAnsi="黑体" w:eastAsia="黑体"/>
          <w:sz w:val="22"/>
        </w:rPr>
        <w:t>电机定子是电动机的关键静止部件，由硅钢片叠压铁芯、绕组、绝缘层等组成。在电机制造和装配过程中，定子与机壳之间通常采用过盈配合连接，需要通过加热使定子铁芯膨胀后套入机壳，冷却后形成牢固的机械结合。这一工序称为热装配或热套装配。感应加热技术因其加热速度快、温度可控性好、热影响区小等优势，在电机定子热装配中得到多领域应用。</w:t>
      </w:r>
    </w:p>
    <w:p>
      <w:pPr>
        <w:jc w:val="left"/>
      </w:pPr>
      <w:r>
        <w:rPr>
          <w:rFonts w:ascii="黑体" w:hAnsi="黑体" w:eastAsia="黑体"/>
          <w:sz w:val="22"/>
        </w:rPr>
        <w:t>随着新能源汽车驱动电机向高压化、高转速方向发展，定子热装配对温度控制的要求日益提高。加热温度过高可能导致硅钢片绝缘层损伤、绕组绝缘性能下降；加热温度过低则膨胀量不足，装配困难甚至卡滞。行业数据显示，电机定子热装配不良中约45%与加热温度控制不当有关，约30%与加热不均匀有关，约25%与装配操作不当有关。本文围绕电机定子感应加热热装配工艺展开分析，涵盖热装配原理、感应加热工艺参数、温度控制技术、常见缺陷与预防及质量检测等内容，为电机制造企业的热装配工艺优化提供技术参考。</w:t>
      </w:r>
    </w:p>
    <w:p>
      <w:pPr>
        <w:pStyle w:val="Heading2"/>
        <w:jc w:val="left"/>
      </w:pPr>
      <w:r>
        <w:rPr>
          <w:rFonts w:ascii="黑体" w:hAnsi="黑体" w:eastAsia="黑体"/>
        </w:rPr>
        <w:t>二、电机定子热装配原理与感应加热基础</w:t>
      </w:r>
    </w:p>
    <w:p>
      <w:pPr>
        <w:pStyle w:val="Heading3"/>
        <w:jc w:val="left"/>
      </w:pPr>
      <w:r>
        <w:rPr>
          <w:rFonts w:ascii="黑体" w:hAnsi="黑体" w:eastAsia="黑体"/>
        </w:rPr>
        <w:t>（一）热装配基本原理</w:t>
      </w:r>
    </w:p>
    <w:p>
      <w:pPr>
        <w:jc w:val="left"/>
      </w:pPr>
      <w:r>
        <w:rPr>
          <w:rFonts w:ascii="黑体" w:hAnsi="黑体" w:eastAsia="黑体"/>
          <w:sz w:val="22"/>
        </w:rPr>
        <w:t>电机定子热装配利用金属热胀冷缩的物理特性实现过盈配合。定子铁芯外径略大于机壳内径（过盈量通常0.05～0.15mm），加热定子使其外径膨胀，膨胀量大于过盈量后即可顺利套入机壳，冷却后定子收缩与机壳形成紧固配合。</w:t>
      </w:r>
    </w:p>
    <w:p>
      <w:pPr>
        <w:jc w:val="left"/>
      </w:pPr>
      <w:r>
        <w:rPr>
          <w:rFonts w:ascii="黑体" w:hAnsi="黑体" w:eastAsia="黑体"/>
          <w:sz w:val="22"/>
        </w:rPr>
        <w:t>热装配的加热温度需根据过盈量、定子外径和材料线膨胀系数计算确定。以钢制定子铁芯为例，线膨胀系数约为12×10⁻⁶/℃，若定子外径200mm、过盈量0.10mm，所需膨胀量取过盈量的2～3倍（0.20～0.30mm），则加热温升约83～125℃，考虑操作时间裕量和散热因素，实际加热温度通常设定在150～250℃范围内。</w:t>
      </w:r>
    </w:p>
    <w:p>
      <w:pPr>
        <w:pStyle w:val="Heading3"/>
        <w:jc w:val="left"/>
      </w:pPr>
      <w:r>
        <w:rPr>
          <w:rFonts w:ascii="黑体" w:hAnsi="黑体" w:eastAsia="黑体"/>
        </w:rPr>
        <w:t>（二）感应加热原理</w:t>
      </w:r>
    </w:p>
    <w:p>
      <w:pPr>
        <w:jc w:val="left"/>
      </w:pPr>
      <w:r>
        <w:rPr>
          <w:rFonts w:ascii="黑体" w:hAnsi="黑体" w:eastAsia="黑体"/>
          <w:sz w:val="22"/>
        </w:rPr>
        <w:t>感应加热利用电磁感应原理，当交变电流通过感应线圈时，线圈周围产生交变磁场，置于磁场中的金属工件内部产生涡流，涡流在工件电阻作用下产生焦耳热使工件升温。感应加热的频率、功率和线圈结构直接影响加热深度、速度和均匀性。</w:t>
      </w:r>
    </w:p>
    <w:p>
      <w:pPr>
        <w:jc w:val="left"/>
      </w:pPr>
      <w:r>
        <w:rPr>
          <w:rFonts w:ascii="黑体" w:hAnsi="黑体" w:eastAsia="黑体"/>
          <w:sz w:val="22"/>
        </w:rPr>
        <w:t>电机定子热装配通常采用中频感应加热（频率1～10kHz），中频加热穿透深度较大，适合壁厚较大的定子铁芯穿透式加热。相比高频加热，中频加热从外向内均匀加热，可避免表面过热而内部未热透的问题。</w:t>
      </w:r>
    </w:p>
    <w:p>
      <w:pPr>
        <w:pStyle w:val="Heading3"/>
        <w:jc w:val="left"/>
      </w:pPr>
      <w:r>
        <w:rPr>
          <w:rFonts w:ascii="黑体" w:hAnsi="黑体" w:eastAsia="黑体"/>
        </w:rPr>
        <w:t>（三）感应加热相比传统方式的优势</w:t>
      </w:r>
    </w:p>
    <w:p>
      <w:pPr>
        <w:pStyle w:val="ListBullet"/>
      </w:pPr>
      <w:r>
        <w:rPr>
          <w:rFonts w:ascii="黑体" w:hAnsi="黑体" w:eastAsia="黑体"/>
          <w:sz w:val="22"/>
        </w:rPr>
        <w:t>加热速度快：感应加热能量直接作用于工件，升温速度可达5～20℃/s，单台定子加热时间30～120秒，相比烘箱加热（30～60分钟）大幅缩短。</w:t>
      </w:r>
    </w:p>
    <w:p>
      <w:pPr>
        <w:pStyle w:val="ListBullet"/>
      </w:pPr>
      <w:r>
        <w:rPr>
          <w:rFonts w:ascii="黑体" w:hAnsi="黑体" w:eastAsia="黑体"/>
          <w:sz w:val="22"/>
        </w:rPr>
        <w:t>温度均匀性好：通过合理设计感应线圈，可使定子周向温差控制在±5℃以内，轴向温差控制在±10℃以内。</w:t>
      </w:r>
    </w:p>
    <w:p>
      <w:pPr>
        <w:pStyle w:val="ListBullet"/>
      </w:pPr>
      <w:r>
        <w:rPr>
          <w:rFonts w:ascii="黑体" w:hAnsi="黑体" w:eastAsia="黑体"/>
          <w:sz w:val="22"/>
        </w:rPr>
        <w:t>热影响区小：感应加热能量集中在定子铁芯区域，绕组和绝缘层温度上升较小，有效避免热损伤。</w:t>
      </w:r>
    </w:p>
    <w:p>
      <w:pPr>
        <w:pStyle w:val="ListBullet"/>
      </w:pPr>
      <w:r>
        <w:rPr>
          <w:rFonts w:ascii="黑体" w:hAnsi="黑体" w:eastAsia="黑体"/>
          <w:sz w:val="22"/>
        </w:rPr>
        <w:t>节能环保：无明火、无废气排放，设备即开即用，待机能耗低，相比电阻炉节能20%～40%。</w:t>
      </w:r>
    </w:p>
    <w:p>
      <w:pPr>
        <w:pStyle w:val="ListBullet"/>
      </w:pPr>
      <w:r>
        <w:rPr>
          <w:rFonts w:ascii="黑体" w:hAnsi="黑体" w:eastAsia="黑体"/>
          <w:sz w:val="22"/>
        </w:rPr>
        <w:t>自动化适配性强：感应加热设备可对接红外测温、PLC控制系统和自动化上下料机构，适配流水线生产。</w:t>
      </w:r>
    </w:p>
    <w:p>
      <w:pPr>
        <w:pStyle w:val="Heading2"/>
        <w:jc w:val="left"/>
      </w:pPr>
      <w:r>
        <w:rPr>
          <w:rFonts w:ascii="黑体" w:hAnsi="黑体" w:eastAsia="黑体"/>
        </w:rPr>
        <w:t>三、感应加热工艺参数控制</w:t>
      </w:r>
    </w:p>
    <w:p>
      <w:pPr>
        <w:pStyle w:val="Heading3"/>
        <w:jc w:val="left"/>
      </w:pPr>
      <w:r>
        <w:rPr>
          <w:rFonts w:ascii="黑体" w:hAnsi="黑体" w:eastAsia="黑体"/>
        </w:rPr>
        <w:t>（一）加热频率选择</w:t>
      </w:r>
    </w:p>
    <w:p>
      <w:pPr>
        <w:jc w:val="left"/>
      </w:pPr>
      <w:r>
        <w:rPr>
          <w:rFonts w:ascii="黑体" w:hAnsi="黑体" w:eastAsia="黑体"/>
          <w:sz w:val="22"/>
        </w:rPr>
        <w:t>加热频率是影响加热深度和效率的关键参数。频率越高，趋肤效应越强，加热深度越浅；频率越低，加热深度越深但加热速度较慢。电机定子热装配的频率选择需根据定子铁芯壁厚和材料特性确定：</w:t>
      </w:r>
    </w:p>
    <w:p>
      <w:pPr>
        <w:pStyle w:val="ListBullet"/>
      </w:pPr>
      <w:r>
        <w:rPr>
          <w:rFonts w:ascii="黑体" w:hAnsi="黑体" w:eastAsia="黑体"/>
          <w:sz w:val="22"/>
        </w:rPr>
        <w:t>薄壁定子（壁厚10～30mm）：频率5～10kHz，加热深度约3～5mm，加热速度快，适合小型电机定子。</w:t>
      </w:r>
    </w:p>
    <w:p>
      <w:pPr>
        <w:pStyle w:val="ListBullet"/>
      </w:pPr>
      <w:r>
        <w:rPr>
          <w:rFonts w:ascii="黑体" w:hAnsi="黑体" w:eastAsia="黑体"/>
          <w:sz w:val="22"/>
        </w:rPr>
        <w:t>中壁定子（壁厚30～60mm）：频率2～5kHz，加热深度约5～10mm，兼顾加热速度和均匀性，适合中型工业电机定子。</w:t>
      </w:r>
    </w:p>
    <w:p>
      <w:pPr>
        <w:pStyle w:val="ListBullet"/>
      </w:pPr>
      <w:r>
        <w:rPr>
          <w:rFonts w:ascii="黑体" w:hAnsi="黑体" w:eastAsia="黑体"/>
          <w:sz w:val="22"/>
        </w:rPr>
        <w:t>厚壁定子（壁厚60mm以上）：频率1～2kHz，加热深度约10～20mm，穿透式加热，适合大型电机和发电机定子。</w:t>
      </w:r>
    </w:p>
    <w:p>
      <w:pPr>
        <w:pStyle w:val="Heading3"/>
        <w:jc w:val="left"/>
      </w:pPr>
      <w:r>
        <w:rPr>
          <w:rFonts w:ascii="黑体" w:hAnsi="黑体" w:eastAsia="黑体"/>
        </w:rPr>
        <w:t>（二）加热功率与时间</w:t>
      </w:r>
    </w:p>
    <w:p>
      <w:pPr>
        <w:jc w:val="left"/>
      </w:pPr>
      <w:r>
        <w:rPr>
          <w:rFonts w:ascii="黑体" w:hAnsi="黑体" w:eastAsia="黑体"/>
          <w:sz w:val="22"/>
        </w:rPr>
        <w:t>加热功率和加热时间决定定子的实际加热温度和温度分布。功率过高可能导致局部过热，功率过低则加热时间长、生产效率低。</w:t>
      </w:r>
    </w:p>
    <w:p>
      <w:pPr>
        <w:pStyle w:val="ListBullet"/>
      </w:pPr>
      <w:r>
        <w:rPr>
          <w:rFonts w:ascii="黑体" w:hAnsi="黑体" w:eastAsia="黑体"/>
          <w:sz w:val="22"/>
        </w:rPr>
        <w:t>功率密度：定子铁芯的功率密度建议0.5～2.0kW/kg。功率密度过低加热速度慢，过高则表面温度上升过快导致温差大。</w:t>
      </w:r>
    </w:p>
    <w:p>
      <w:pPr>
        <w:pStyle w:val="ListBullet"/>
      </w:pPr>
      <w:r>
        <w:rPr>
          <w:rFonts w:ascii="黑体" w:hAnsi="黑体" w:eastAsia="黑体"/>
          <w:sz w:val="22"/>
        </w:rPr>
        <w:t>加热时间：根据定子尺寸和目标温度确定，小型定子（外径50～100mm）加热时间30～60秒，中型定子（外径100～300mm）60～120秒，大型定子（外径300mm以上）120～300秒。</w:t>
      </w:r>
    </w:p>
    <w:p>
      <w:pPr>
        <w:pStyle w:val="ListBullet"/>
      </w:pPr>
      <w:r>
        <w:rPr>
          <w:rFonts w:ascii="黑体" w:hAnsi="黑体" w:eastAsia="黑体"/>
          <w:sz w:val="22"/>
        </w:rPr>
        <w:t>保温时间：达到目标温度后短暂保温10～30秒，使定子内外温度趋于均匀。保温时间过长可能影响绝缘层性能。</w:t>
      </w:r>
    </w:p>
    <w:p>
      <w:pPr>
        <w:pStyle w:val="Heading3"/>
        <w:jc w:val="left"/>
      </w:pPr>
      <w:r>
        <w:rPr>
          <w:rFonts w:ascii="黑体" w:hAnsi="黑体" w:eastAsia="黑体"/>
        </w:rPr>
        <w:t>（三）温度设定与控制</w:t>
      </w:r>
    </w:p>
    <w:p>
      <w:pPr>
        <w:jc w:val="left"/>
      </w:pPr>
      <w:r>
        <w:rPr>
          <w:rFonts w:ascii="黑体" w:hAnsi="黑体" w:eastAsia="黑体"/>
          <w:sz w:val="22"/>
        </w:rPr>
        <w:t>加热温度的设定需综合考虑过盈量、膨胀量需求和材料耐温限制：</w:t>
      </w:r>
    </w:p>
    <w:p>
      <w:pPr>
        <w:pStyle w:val="ListBullet"/>
      </w:pPr>
      <w:r>
        <w:rPr>
          <w:rFonts w:ascii="黑体" w:hAnsi="黑体" w:eastAsia="黑体"/>
          <w:sz w:val="22"/>
        </w:rPr>
        <w:t>温度计算：目标加热温度T = T₀ + ΔT，其中T₀为室温，ΔT为所需温升。ΔT = 膨胀量 / (线膨胀系数 × 定子外径)，膨胀量取过盈量的2～3倍。</w:t>
      </w:r>
    </w:p>
    <w:p>
      <w:pPr>
        <w:pStyle w:val="ListBullet"/>
      </w:pPr>
      <w:r>
        <w:rPr>
          <w:rFonts w:ascii="黑体" w:hAnsi="黑体" w:eastAsia="黑体"/>
          <w:sz w:val="22"/>
        </w:rPr>
        <w:t>温度上限：硅钢片绝缘层耐温通常180～220℃，绕组绝缘漆耐温150～180℃。加热温度不应超过绝缘层耐温极限，建议控制在250℃以内（铁芯表面温度）。</w:t>
      </w:r>
    </w:p>
    <w:p>
      <w:pPr>
        <w:pStyle w:val="ListBullet"/>
      </w:pPr>
      <w:r>
        <w:rPr>
          <w:rFonts w:ascii="黑体" w:hAnsi="黑体" w:eastAsia="黑体"/>
          <w:sz w:val="22"/>
        </w:rPr>
        <w:t>温度闭环控制：采用红外测温仪或热电偶实时监测定子表面温度，通过PID控制器调节感应加热功率，温度控制精度可达±2～±5℃。</w:t>
      </w:r>
    </w:p>
    <w:p>
      <w:pPr>
        <w:pStyle w:val="ListBullet"/>
      </w:pPr>
      <w:r>
        <w:rPr>
          <w:rFonts w:ascii="黑体" w:hAnsi="黑体" w:eastAsia="黑体"/>
          <w:sz w:val="22"/>
        </w:rPr>
        <w:t>周向温度均匀性：通过优化感应线圈结构（如多匝均匀绕制、磁导体配置）使定子周向加热均匀，周向温差不超过±5℃。</w:t>
      </w:r>
    </w:p>
    <w:p>
      <w:pPr>
        <w:pStyle w:val="Heading2"/>
        <w:jc w:val="left"/>
      </w:pPr>
      <w:r>
        <w:rPr>
          <w:rFonts w:ascii="黑体" w:hAnsi="黑体" w:eastAsia="黑体"/>
        </w:rPr>
        <w:t>四、温度控制技术与监控系统</w:t>
      </w:r>
    </w:p>
    <w:p>
      <w:pPr>
        <w:pStyle w:val="Heading3"/>
        <w:jc w:val="left"/>
      </w:pPr>
      <w:r>
        <w:rPr>
          <w:rFonts w:ascii="黑体" w:hAnsi="黑体" w:eastAsia="黑体"/>
        </w:rPr>
        <w:t>（一）温度检测方法</w:t>
      </w:r>
    </w:p>
    <w:p>
      <w:pPr>
        <w:pStyle w:val="ListBullet"/>
      </w:pPr>
      <w:r>
        <w:rPr>
          <w:rFonts w:ascii="黑体" w:hAnsi="黑体" w:eastAsia="黑体"/>
          <w:sz w:val="22"/>
        </w:rPr>
        <w:t>红外测温：非接触式红外测温仪测量定子表面温度，响应速度快（毫秒级），适合实时监控。需注意定子表面发射率设置和环境干扰。</w:t>
      </w:r>
    </w:p>
    <w:p>
      <w:pPr>
        <w:pStyle w:val="ListBullet"/>
      </w:pPr>
      <w:r>
        <w:rPr>
          <w:rFonts w:ascii="黑体" w:hAnsi="黑体" w:eastAsia="黑体"/>
          <w:sz w:val="22"/>
        </w:rPr>
        <w:t>热电偶测温：K型热电偶接触式测量定子表面或内部温度，测量精度高（±1℃），但需固定安装，适合工艺试验和标定。</w:t>
      </w:r>
    </w:p>
    <w:p>
      <w:pPr>
        <w:pStyle w:val="ListBullet"/>
      </w:pPr>
      <w:r>
        <w:rPr>
          <w:rFonts w:ascii="黑体" w:hAnsi="黑体" w:eastAsia="黑体"/>
          <w:sz w:val="22"/>
        </w:rPr>
        <w:t>光纤测温：光纤温度传感器不受电磁干扰，适合在感应加热磁场环境中使用，但成本较高。</w:t>
      </w:r>
    </w:p>
    <w:p>
      <w:pPr>
        <w:pStyle w:val="Heading3"/>
        <w:jc w:val="left"/>
      </w:pPr>
      <w:r>
        <w:rPr>
          <w:rFonts w:ascii="黑体" w:hAnsi="黑体" w:eastAsia="黑体"/>
        </w:rPr>
        <w:t>（二）温度闭环控制系统</w:t>
      </w:r>
    </w:p>
    <w:p>
      <w:pPr>
        <w:jc w:val="left"/>
      </w:pPr>
      <w:r>
        <w:rPr>
          <w:rFonts w:ascii="黑体" w:hAnsi="黑体" w:eastAsia="黑体"/>
          <w:sz w:val="22"/>
        </w:rPr>
        <w:t>温度闭环控制系统由温度传感器、PID控制器、感应加热电源和感应线圈组成。系统工作流程为：传感器实时采集定子温度 → PID控制器计算温度偏差 → 调节感应电源输出功率 → 实现温度闭环控制。</w:t>
      </w:r>
    </w:p>
    <w:p>
      <w:pPr>
        <w:pStyle w:val="ListBullet"/>
      </w:pPr>
      <w:r>
        <w:rPr>
          <w:rFonts w:ascii="黑体" w:hAnsi="黑体" w:eastAsia="黑体"/>
          <w:sz w:val="22"/>
        </w:rPr>
        <w:t>PID参数整定：比例系数P决定响应速度，积分系数I消除稳态误差，微分系数D抑制超调。通过工艺试验整定PID参数，使温度上升曲线平滑无超调。</w:t>
      </w:r>
    </w:p>
    <w:p>
      <w:pPr>
        <w:pStyle w:val="ListBullet"/>
      </w:pPr>
      <w:r>
        <w:rPr>
          <w:rFonts w:ascii="黑体" w:hAnsi="黑体" w:eastAsia="黑体"/>
          <w:sz w:val="22"/>
        </w:rPr>
        <w:t>多段温度曲线：支持多段温度曲线设置（升温段→保温段→降温段），每段可设定不同的功率和目标温度，适配不同规格定子的工艺需求。</w:t>
      </w:r>
    </w:p>
    <w:p>
      <w:pPr>
        <w:pStyle w:val="ListBullet"/>
      </w:pPr>
      <w:r>
        <w:rPr>
          <w:rFonts w:ascii="黑体" w:hAnsi="黑体" w:eastAsia="黑体"/>
          <w:sz w:val="22"/>
        </w:rPr>
        <w:t>超温保护：当定子温度超过设定上限（如280℃）时，系统自动切断加热电源并报警，防止绝缘层损伤。</w:t>
      </w:r>
    </w:p>
    <w:p>
      <w:pPr>
        <w:pStyle w:val="Heading3"/>
        <w:jc w:val="left"/>
      </w:pPr>
      <w:r>
        <w:rPr>
          <w:rFonts w:ascii="黑体" w:hAnsi="黑体" w:eastAsia="黑体"/>
        </w:rPr>
        <w:t>（三）数据记录与追溯</w:t>
      </w:r>
    </w:p>
    <w:p>
      <w:pPr>
        <w:pStyle w:val="ListBullet"/>
      </w:pPr>
      <w:r>
        <w:rPr>
          <w:rFonts w:ascii="黑体" w:hAnsi="黑体" w:eastAsia="黑体"/>
          <w:sz w:val="22"/>
        </w:rPr>
        <w:t>温度曲线记录：每台定子的加热温度-时间曲线自动记录并存储，可通过产品序列号追溯。数据保存期限不少于3年。</w:t>
      </w:r>
    </w:p>
    <w:p>
      <w:pPr>
        <w:pStyle w:val="ListBullet"/>
      </w:pPr>
      <w:r>
        <w:rPr>
          <w:rFonts w:ascii="黑体" w:hAnsi="黑体" w:eastAsia="黑体"/>
          <w:sz w:val="22"/>
        </w:rPr>
        <w:t>工艺参数存储：不同规格定子的工艺参数（频率、功率、时间、目标温度）存储为工艺配方，换产时一键调用，保证批次间一致性。</w:t>
      </w:r>
    </w:p>
    <w:p>
      <w:pPr>
        <w:pStyle w:val="ListBullet"/>
      </w:pPr>
      <w:r>
        <w:rPr>
          <w:rFonts w:ascii="黑体" w:hAnsi="黑体" w:eastAsia="黑体"/>
          <w:sz w:val="22"/>
        </w:rPr>
        <w:t>异常标记：温度曲线偏差超过设定阈值时自动标记异常产品，便于后续质量追溯和分析。</w:t>
      </w:r>
    </w:p>
    <w:p>
      <w:pPr>
        <w:pStyle w:val="Heading2"/>
        <w:jc w:val="left"/>
      </w:pPr>
      <w:r>
        <w:rPr>
          <w:rFonts w:ascii="黑体" w:hAnsi="黑体" w:eastAsia="黑体"/>
        </w:rPr>
        <w:t>五、常见缺陷与预防措施</w:t>
      </w:r>
    </w:p>
    <w:p>
      <w:pPr>
        <w:pStyle w:val="Heading3"/>
        <w:jc w:val="left"/>
      </w:pPr>
      <w:r>
        <w:rPr>
          <w:rFonts w:ascii="黑体" w:hAnsi="黑体" w:eastAsia="黑体"/>
        </w:rPr>
        <w:t>（一）加热不均匀</w:t>
      </w:r>
    </w:p>
    <w:p>
      <w:pPr>
        <w:jc w:val="left"/>
      </w:pPr>
      <w:r>
        <w:rPr>
          <w:rFonts w:ascii="黑体" w:hAnsi="黑体" w:eastAsia="黑体"/>
          <w:sz w:val="22"/>
        </w:rPr>
        <w:t>加热不均匀是定子热装配中常见的问题，表现为定子周向或轴向温差过大，导致膨胀量不均匀，装配时偏斜或卡滞。</w:t>
      </w:r>
    </w:p>
    <w:p>
      <w:pPr>
        <w:pStyle w:val="ListBullet"/>
      </w:pPr>
      <w:r>
        <w:rPr>
          <w:rFonts w:ascii="黑体" w:hAnsi="黑体" w:eastAsia="黑体"/>
          <w:sz w:val="22"/>
        </w:rPr>
        <w:t>成因：感应线圈结构不合理（匝间距不均、偏心）、定子放置位置偏斜、电源输出功率波动。</w:t>
      </w:r>
    </w:p>
    <w:p>
      <w:pPr>
        <w:pStyle w:val="ListBullet"/>
      </w:pPr>
      <w:r>
        <w:rPr>
          <w:rFonts w:ascii="黑体" w:hAnsi="黑体" w:eastAsia="黑体"/>
          <w:sz w:val="22"/>
        </w:rPr>
        <w:t>预防：优化感应线圈设计，保证线圈与定子同心；采用多段线圈或分体线圈结构改善轴向温度均匀性；电源输出功率稳定度控制在±2%以内。</w:t>
      </w:r>
    </w:p>
    <w:p>
      <w:pPr>
        <w:pStyle w:val="Heading3"/>
        <w:jc w:val="left"/>
      </w:pPr>
      <w:r>
        <w:rPr>
          <w:rFonts w:ascii="黑体" w:hAnsi="黑体" w:eastAsia="黑体"/>
        </w:rPr>
        <w:t>（二）绝缘层损伤</w:t>
      </w:r>
    </w:p>
    <w:p>
      <w:pPr>
        <w:jc w:val="left"/>
      </w:pPr>
      <w:r>
        <w:rPr>
          <w:rFonts w:ascii="黑体" w:hAnsi="黑体" w:eastAsia="黑体"/>
          <w:sz w:val="22"/>
        </w:rPr>
        <w:t>加热温度过高或加热时间过长可能导致定子硅钢片绝缘层和绕组绝缘漆受损，影响电机绝缘性能。</w:t>
      </w:r>
    </w:p>
    <w:p>
      <w:pPr>
        <w:pStyle w:val="ListBullet"/>
      </w:pPr>
      <w:r>
        <w:rPr>
          <w:rFonts w:ascii="黑体" w:hAnsi="黑体" w:eastAsia="黑体"/>
          <w:sz w:val="22"/>
        </w:rPr>
        <w:t>成因：加热温度超过绝缘层耐温极限（180～220℃）、保温时间过长、局部过热。</w:t>
      </w:r>
    </w:p>
    <w:p>
      <w:pPr>
        <w:pStyle w:val="ListBullet"/>
      </w:pPr>
      <w:r>
        <w:rPr>
          <w:rFonts w:ascii="黑体" w:hAnsi="黑体" w:eastAsia="黑体"/>
          <w:sz w:val="22"/>
        </w:rPr>
        <w:t>预防：严格控制加热温度上限不超过250℃；采用温度闭环控制防止超温；保温时间不超过30秒；对温度敏感区域（如绕组端部）采取隔热措施。</w:t>
      </w:r>
    </w:p>
    <w:p>
      <w:pPr>
        <w:pStyle w:val="Heading3"/>
        <w:jc w:val="left"/>
      </w:pPr>
      <w:r>
        <w:rPr>
          <w:rFonts w:ascii="黑体" w:hAnsi="黑体" w:eastAsia="黑体"/>
        </w:rPr>
        <w:t>（三）装配卡滞</w:t>
      </w:r>
    </w:p>
    <w:p>
      <w:pPr>
        <w:jc w:val="left"/>
      </w:pPr>
      <w:r>
        <w:rPr>
          <w:rFonts w:ascii="黑体" w:hAnsi="黑体" w:eastAsia="黑体"/>
          <w:sz w:val="22"/>
        </w:rPr>
        <w:t>装配卡滞指定子加热膨胀后套入机壳时受阻，无法顺利装入。卡滞可能导致定子或机壳损伤。</w:t>
      </w:r>
    </w:p>
    <w:p>
      <w:pPr>
        <w:pStyle w:val="ListBullet"/>
      </w:pPr>
      <w:r>
        <w:rPr>
          <w:rFonts w:ascii="黑体" w:hAnsi="黑体" w:eastAsia="黑体"/>
          <w:sz w:val="22"/>
        </w:rPr>
        <w:t>成因：膨胀量不足（加热温度偏低）、装配动作迟缓（定子在装配过程中冷却收缩）、定子或机壳表面有毛刺或异物、机壳内径尺寸超差。</w:t>
      </w:r>
    </w:p>
    <w:p>
      <w:pPr>
        <w:pStyle w:val="ListBullet"/>
      </w:pPr>
      <w:r>
        <w:rPr>
          <w:rFonts w:ascii="黑体" w:hAnsi="黑体" w:eastAsia="黑体"/>
          <w:sz w:val="22"/>
        </w:rPr>
        <w:t>预防：保证膨胀量大于过盈量的2倍；装配操作时间控制在10～15秒内；装配前检查定子和机壳配合面无毛刺和异物；控制机壳内径尺寸公差在±0.02mm以内。</w:t>
      </w:r>
    </w:p>
    <w:p>
      <w:pPr>
        <w:pStyle w:val="Heading3"/>
        <w:jc w:val="left"/>
      </w:pPr>
      <w:r>
        <w:rPr>
          <w:rFonts w:ascii="黑体" w:hAnsi="黑体" w:eastAsia="黑体"/>
        </w:rPr>
        <w:t>（四）定子变形</w:t>
      </w:r>
    </w:p>
    <w:p>
      <w:pPr>
        <w:jc w:val="left"/>
      </w:pPr>
      <w:r>
        <w:rPr>
          <w:rFonts w:ascii="黑体" w:hAnsi="黑体" w:eastAsia="黑体"/>
          <w:sz w:val="22"/>
        </w:rPr>
        <w:t>定子加热或冷却过程中可能产生变形，影响装配后定子与机壳的同轴度和圆度。</w:t>
      </w:r>
    </w:p>
    <w:p>
      <w:pPr>
        <w:pStyle w:val="ListBullet"/>
      </w:pPr>
      <w:r>
        <w:rPr>
          <w:rFonts w:ascii="黑体" w:hAnsi="黑体" w:eastAsia="黑体"/>
          <w:sz w:val="22"/>
        </w:rPr>
        <w:t>成因：加热或冷却速度过快导致热应力不均、定子铁芯叠压松动、感应线圈偏心导致局部过热。</w:t>
      </w:r>
    </w:p>
    <w:p>
      <w:pPr>
        <w:pStyle w:val="ListBullet"/>
      </w:pPr>
      <w:r>
        <w:rPr>
          <w:rFonts w:ascii="黑体" w:hAnsi="黑体" w:eastAsia="黑体"/>
          <w:sz w:val="22"/>
        </w:rPr>
        <w:t>预防：控制升温速率不超20℃/s、冷却速率不超15℃/s；定期检查定子铁芯叠压紧固力；感应线圈与定子同心度偏差控制在0.5mm以内。</w:t>
      </w:r>
    </w:p>
    <w:p>
      <w:pPr>
        <w:pStyle w:val="Heading2"/>
        <w:jc w:val="left"/>
      </w:pPr>
      <w:r>
        <w:rPr>
          <w:rFonts w:ascii="黑体" w:hAnsi="黑体" w:eastAsia="黑体"/>
        </w:rPr>
        <w:t>六、质量检测与验收</w:t>
      </w:r>
    </w:p>
    <w:p>
      <w:pPr>
        <w:pStyle w:val="Heading3"/>
        <w:jc w:val="left"/>
      </w:pPr>
      <w:r>
        <w:rPr>
          <w:rFonts w:ascii="黑体" w:hAnsi="黑体" w:eastAsia="黑体"/>
        </w:rPr>
        <w:t>（一）装配后尺寸检测</w:t>
      </w:r>
    </w:p>
    <w:p>
      <w:pPr>
        <w:pStyle w:val="ListBullet"/>
      </w:pPr>
      <w:r>
        <w:rPr>
          <w:rFonts w:ascii="黑体" w:hAnsi="黑体" w:eastAsia="黑体"/>
          <w:sz w:val="22"/>
        </w:rPr>
        <w:t>同轴度检测：定子内孔与机壳外圆基准的同轴度不大于φ0.05mm，使用三坐标测量仪或千分表检测。</w:t>
      </w:r>
    </w:p>
    <w:p>
      <w:pPr>
        <w:pStyle w:val="ListBullet"/>
      </w:pPr>
      <w:r>
        <w:rPr>
          <w:rFonts w:ascii="黑体" w:hAnsi="黑体" w:eastAsia="黑体"/>
          <w:sz w:val="22"/>
        </w:rPr>
        <w:t>圆度检测：定子铁芯内孔圆度不大于0.03mm，使用内径千分尺多点测量。</w:t>
      </w:r>
    </w:p>
    <w:p>
      <w:pPr>
        <w:pStyle w:val="ListBullet"/>
      </w:pPr>
      <w:r>
        <w:rPr>
          <w:rFonts w:ascii="黑体" w:hAnsi="黑体" w:eastAsia="黑体"/>
          <w:sz w:val="22"/>
        </w:rPr>
        <w:t>轴向位置检测：定子在机壳中的轴向位置偏差控制在±0.5mm以内。</w:t>
      </w:r>
    </w:p>
    <w:p>
      <w:pPr>
        <w:pStyle w:val="Heading3"/>
        <w:jc w:val="left"/>
      </w:pPr>
      <w:r>
        <w:rPr>
          <w:rFonts w:ascii="黑体" w:hAnsi="黑体" w:eastAsia="黑体"/>
        </w:rPr>
        <w:t>（二）绝缘性能检测</w:t>
      </w:r>
    </w:p>
    <w:p>
      <w:pPr>
        <w:pStyle w:val="ListBullet"/>
      </w:pPr>
      <w:r>
        <w:rPr>
          <w:rFonts w:ascii="黑体" w:hAnsi="黑体" w:eastAsia="黑体"/>
          <w:sz w:val="22"/>
        </w:rPr>
        <w:t>绝缘电阻：装配后定子绕组对地绝缘电阻不小于100MΩ（500V兆欧表测量），与装配前相比下降不超过10%。</w:t>
      </w:r>
    </w:p>
    <w:p>
      <w:pPr>
        <w:pStyle w:val="ListBullet"/>
      </w:pPr>
      <w:r>
        <w:rPr>
          <w:rFonts w:ascii="黑体" w:hAnsi="黑体" w:eastAsia="黑体"/>
          <w:sz w:val="22"/>
        </w:rPr>
        <w:t>耐压试验：绕组对地施加1500V～2500V工频电压1分钟，无击穿和飞弧。</w:t>
      </w:r>
    </w:p>
    <w:p>
      <w:pPr>
        <w:pStyle w:val="ListBullet"/>
      </w:pPr>
      <w:r>
        <w:rPr>
          <w:rFonts w:ascii="黑体" w:hAnsi="黑体" w:eastAsia="黑体"/>
          <w:sz w:val="22"/>
        </w:rPr>
        <w:t>匝间绝缘：使用匝间绝缘测试仪检测绕组匝间绝缘，波形无异常。</w:t>
      </w:r>
    </w:p>
    <w:p>
      <w:pPr>
        <w:pStyle w:val="Heading3"/>
        <w:jc w:val="left"/>
      </w:pPr>
      <w:r>
        <w:rPr>
          <w:rFonts w:ascii="黑体" w:hAnsi="黑体" w:eastAsia="黑体"/>
        </w:rPr>
        <w:t>（三）温度曲线审核</w:t>
      </w:r>
    </w:p>
    <w:p>
      <w:pPr>
        <w:jc w:val="left"/>
      </w:pPr>
      <w:r>
        <w:rPr>
          <w:rFonts w:ascii="黑体" w:hAnsi="黑体" w:eastAsia="黑体"/>
          <w:sz w:val="22"/>
        </w:rPr>
        <w:t>定期抽取批次产品审核加热温度曲线，检查温度上升速率、保温时间、峰值温度和周向温差是否符合工艺要求。温度曲线异常的产品应隔离并进行专项检测。</w:t>
      </w:r>
    </w:p>
    <w:p>
      <w:pPr>
        <w:pStyle w:val="Heading2"/>
        <w:jc w:val="left"/>
      </w:pPr>
      <w:r>
        <w:rPr>
          <w:rFonts w:ascii="黑体" w:hAnsi="黑体" w:eastAsia="黑体"/>
        </w:rPr>
        <w:t>七、总结</w:t>
      </w:r>
    </w:p>
    <w:p>
      <w:pPr>
        <w:jc w:val="left"/>
      </w:pPr>
      <w:r>
        <w:rPr>
          <w:rFonts w:ascii="黑体" w:hAnsi="黑体" w:eastAsia="黑体"/>
          <w:sz w:val="22"/>
        </w:rPr>
        <w:t>电机定子感应加热热装配工艺涉及加热频率选择、功率与时间控制、温度设定与闭环控制等多个技术环节。本文从热装配基本原理和感应加热原理出发，分析了加热频率、功率密度、加热时间等工艺参数的确定方法，阐述了红外测温、热电偶测温等温度检测技术和PID闭环控制系统的设计方案。在缺陷预防方面，针对加热不均匀、绝缘层损伤、装配卡滞和定子变形等常见问题提出了具体的预防措施。在质量检测方面，建议实施同轴度、圆度、绝缘电阻、耐压和匝间绝缘等多维度检测，配合温度曲线审核形成完整的质量验收体系。通过工艺参数标准化、温度闭环控制和严格的装配后检测，可以有效提升电机定子热装配的质量一致性和产品可靠性。</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黑体" w:hAnsi="黑体" w:eastAsia="黑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